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6" w:history="1">
        <w:r>
          <w:rPr>
            <w:rFonts w:ascii="Arial" w:hAnsi="Arial" w:eastAsia="Arial" w:cs="Arial"/>
            <w:color w:val="155CAA"/>
            <w:u w:val="single"/>
          </w:rPr>
          <w:t xml:space="preserve">1 situatie woningen Boermandestraat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6"/>
      <w:r w:rsidRPr="00A448AC">
        <w:rPr>
          <w:rFonts w:ascii="Arial" w:hAnsi="Arial" w:cs="Arial"/>
          <w:b/>
          <w:bCs/>
          <w:color w:val="303F4C"/>
          <w:lang w:val="en-US"/>
        </w:rPr>
        <w:t>situatie woningen Boermandestraat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Situatie woningen Boermandestraat.pdf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41 RvO SP over achterstallig onderhoud, scheve balkons, schimmelproblematiek, lekkage, liberalisatie en verkoop sociale huurwoningen Boermandestraat door Lefier.pdf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Situatie-woningen-Boermandestraat.pdf" TargetMode="External" /><Relationship Id="rId25" Type="http://schemas.openxmlformats.org/officeDocument/2006/relationships/hyperlink" Target="https://gemeenteraad.groningen.nl//Documenten/Document/Beantwoording-vragen-ex-art-41-RvO-SP-over-achterstallig-onderhoud-scheve-balkons-schimmelproblematiek-lekkage-liberalisatie-en-verkoop-sociale-huurwoningen-Boermandestraat-door-Lefi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