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80" text:style-name="Internet_20_link" text:visited-style-name="Visited_20_Internet_20_Link">
              <text:span text:style-name="ListLabel_20_28">
                <text:span text:style-name="T8">1 stand van zaken bakfietsen en aanhangers grofvuil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80"/>
        stand van zaken bakfietsen en aanhangers grofvuil
        <text:bookmark-end text:name="111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Stand van zaken bakfietsen en aanhangers grofvuil.pdf
              <text:span text:style-name="T3"/>
            </text:p>
            <text:p text:style-name="P7"/>
          </table:table-cell>
          <table:table-cell table:style-name="Table4.A2" office:value-type="string">
            <text:p text:style-name="P8">02-07-2019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62,46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tand-van-zaken-bakfietsen-en-aanhangers-grofvui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Stadspartij ex art 38 RvO over mogelijkheden gebruik aanhangers en (elektrische) bakfietsen voor grofvuil.pdf
              <text:span text:style-name="T3"/>
            </text:p>
            <text:p text:style-name="P7"/>
          </table:table-cell>
          <table:table-cell table:style-name="Table4.A2" office:value-type="string">
            <text:p text:style-name="P8">02-07-2019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133,59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Stadspartij-ex-art-38-RvO-over-mogelijkheden-gebruik-aanhangers-en-elektrische-bakfietsen-voor-grofvui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2" meta:character-count="559" meta:non-whitespace-character-count="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