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29" text:style-name="Internet_20_link" text:visited-style-name="Visited_20_Internet_20_Link">
              <text:span text:style-name="ListLabel_20_28">
                <text:span text:style-name="T8">1 verplichte e-screener voor wapenvergunninghouders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29"/>
        verplichte e-screener voor wapenvergunninghouders
        <text:bookmark-end text:name="27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Bijstelling uitvoeringspraktijk e-screener.pdf
              <text:span text:style-name="T3"/>
            </text:p>
            <text:p text:style-name="P7"/>
          </table:table-cell>
          <table:table-cell table:style-name="Table4.A2" office:value-type="string">
            <text:p text:style-name="P8">24-10-2019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88,56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Bijstelling-uitvoeringspraktijk-e-screen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Verplichte e-screener voor wapenvergunninghouders.pdf
              <text:span text:style-name="T3"/>
            </text:p>
            <text:p text:style-name="P7"/>
          </table:table-cell>
          <table:table-cell table:style-name="Table4.A2" office:value-type="string">
            <text:p text:style-name="P8">24-10-2019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82,50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plichte-e-screener-voor-wapenvergunning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Beantwoording vragen PvdD ex art 38 RvO 
              <text:s/>
              over e-screening voor wapenbezitters.pdf
              <text:span text:style-name="T3"/>
            </text:p>
            <text:p text:style-name="P7"/>
          </table:table-cell>
          <table:table-cell table:style-name="Table4.A2" office:value-type="string">
            <text:p text:style-name="P8">24-10-2019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dD-ex-art-38-RvO-over-e-screening-voor-wapenbezitt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8" meta:character-count="594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