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13" text:style-name="Internet_20_link" text:visited-style-name="Visited_20_Internet_20_Link">
              <text:span text:style-name="ListLabel_20_28">
                <text:span text:style-name="T8">1 vervolgvragen juridische kosten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13"/>
        vervolgvragen juridische kosten
        <text:bookmark-end text:name="111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Vervolgvragen juridische 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volgvragen-juridische-ko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CDA ex art 38 RvO over vervolgvragen juridische kosten.pdf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CDA-ex-art-38-RvO-over-vervolgvragen-juridische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55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