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9" w:history="1">
        <w:r>
          <w:rPr>
            <w:rFonts w:ascii="Arial" w:hAnsi="Arial" w:eastAsia="Arial" w:cs="Arial"/>
            <w:color w:val="155CAA"/>
            <w:u w:val="single"/>
          </w:rPr>
          <w:t xml:space="preserve">1 vragen GL dure spoedzorg apotheken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9"/>
      <w:r w:rsidRPr="00A448AC">
        <w:rPr>
          <w:rFonts w:ascii="Arial" w:hAnsi="Arial" w:cs="Arial"/>
          <w:b/>
          <w:bCs/>
          <w:color w:val="303F4C"/>
          <w:lang w:val="en-US"/>
        </w:rPr>
        <w:t>vragen GL dure spoedzorg apotheken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dure spoedzorg apotheken.pdf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dure spoedzorg apotheken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L-dure-spoedzorg-apotheken.pdf" TargetMode="External" /><Relationship Id="rId25" Type="http://schemas.openxmlformats.org/officeDocument/2006/relationships/hyperlink" Target="https://gemeenteraad.groningen.nl//Documenten/Document/vragen-GL-dure-spoedzorg-apothek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