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34" text:style-name="Internet_20_link" text:visited-style-name="Visited_20_Internet_20_Link">
              <text:span text:style-name="ListLabel_20_28">
                <text:span text:style-name="T8">1 wijziging toewijzingsbeleid Lefier (S&amp;amp;S, 23-3-2021)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34"/>
        wijziging toewijzingsbeleid Lefier (S&amp;amp;S, 23-3-2021)
        <text:bookmark-end text:name="12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14-04-2021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toewijzingsbeleid Lefier (S&amp;amp;S, 23-3-2021)
              <text:span text:style-name="T3"/>
            </text:p>
            <text:p text:style-name="P7"/>
          </table:table-cell>
          <table:table-cell table:style-name="Table4.A2" office:value-type="string">
            <text:p text:style-name="P8">23-03-2021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195,09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wijziging-toewijzingsbeleid-Lefier-S-S-23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Student en Stad over wijziging toewijzingsbeleid voor studentenkamers Lefier
              <text:span text:style-name="T3"/>
            </text:p>
            <text:p text:style-name="P7"/>
          </table:table-cell>
          <table:table-cell table:style-name="Table4.A2" office:value-type="string">
            <text:p text:style-name="P8">14-04-2021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196,37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ex-art-38-RvO-Student-en-Stad-over-wijziging-toewijzingsbeleid-voor-studentenkamers-Lef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56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