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97" text:style-name="Internet_20_link" text:visited-style-name="Visited_20_Internet_20_Link">
              <text:span text:style-name="ListLabel_20_28">
                <text:span text:style-name="T8">1 zorgkosten en relatie met industrie (SP, GL, 28-6-24)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97"/>
        zorgkosten en relatie met industrie (SP, GL, 28-6-24)
        <text:bookmark-end text:name="14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28-6-24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17-07-2024 15:08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zorgkosten en relatie met industrie (SP, GL, 28-6-2024)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61,39 KB</text:p>
          </table:table-cell>
          <table:table-cell table:style-name="Table5.A2" office:value-type="string">
            <text:p text:style-name="P33">
              <text:a xlink:type="simple" xlink:href="https://gemeenteraad.groningen.nl//Documenten/zorgkosten-en-relatie-met-industrie-SP-GL-28-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GroenLinks en de SP over zorgkosten en relatie met Industrie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GroenLinks-en-de-SP-over-zorgkosten-en-relatie-met-Industri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8" meta:character-count="631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